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bookmarkStart w:id="0" w:name="_GoBack"/>
      <w:r>
        <w:rPr>
          <w:rFonts w:ascii="方正小标宋简体" w:hAnsi="方正小标宋简体" w:eastAsia="方正小标宋简体" w:cs="方正小标宋简体"/>
          <w:i w:val="0"/>
          <w:iCs w:val="0"/>
          <w:caps w:val="0"/>
          <w:color w:val="333333"/>
          <w:spacing w:val="0"/>
          <w:kern w:val="0"/>
          <w:sz w:val="52"/>
          <w:szCs w:val="52"/>
          <w:bdr w:val="none" w:color="auto" w:sz="0" w:space="0"/>
          <w:shd w:val="clear" w:fill="EFEFEF"/>
          <w:lang w:val="en-US" w:eastAsia="zh-CN" w:bidi="ar"/>
        </w:rPr>
        <w:t>广西建设职业技术学院</w:t>
      </w:r>
      <w:r>
        <w:rPr>
          <w:rFonts w:hint="default" w:ascii="方正小标宋简体" w:hAnsi="方正小标宋简体" w:eastAsia="方正小标宋简体" w:cs="方正小标宋简体"/>
          <w:i w:val="0"/>
          <w:iCs w:val="0"/>
          <w:caps w:val="0"/>
          <w:color w:val="333333"/>
          <w:spacing w:val="0"/>
          <w:kern w:val="0"/>
          <w:sz w:val="52"/>
          <w:szCs w:val="52"/>
          <w:bdr w:val="none" w:color="auto" w:sz="0" w:space="0"/>
          <w:shd w:val="clear" w:fill="EFEFEF"/>
          <w:lang w:val="en-US" w:eastAsia="zh-CN" w:bidi="ar"/>
        </w:rPr>
        <w:t>2017年部门决算</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6"/>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EFEFE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宋体" w:hAnsi="宋体" w:eastAsia="宋体" w:cs="宋体"/>
          <w:color w:val="333333"/>
          <w:sz w:val="21"/>
          <w:szCs w:val="21"/>
        </w:rPr>
      </w:pPr>
      <w:r>
        <w:rPr>
          <w:rFonts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宋体" w:hAnsi="宋体" w:eastAsia="宋体" w:cs="宋体"/>
          <w:color w:val="333333"/>
          <w:sz w:val="21"/>
          <w:szCs w:val="21"/>
        </w:rPr>
      </w:pPr>
      <w:r>
        <w:rPr>
          <w:rFonts w:ascii="黑体" w:hAnsi="宋体" w:eastAsia="黑体" w:cs="黑体"/>
          <w:b/>
          <w:bCs/>
          <w:i w:val="0"/>
          <w:iCs w:val="0"/>
          <w:caps w:val="0"/>
          <w:color w:val="333333"/>
          <w:spacing w:val="0"/>
          <w:kern w:val="0"/>
          <w:sz w:val="32"/>
          <w:szCs w:val="32"/>
          <w:bdr w:val="none" w:color="auto" w:sz="0" w:space="0"/>
          <w:shd w:val="clear" w:fill="EFEFEF"/>
          <w:lang w:val="en-US" w:eastAsia="zh-CN" w:bidi="ar"/>
        </w:rPr>
        <w:t>第一部分：</w:t>
      </w:r>
      <w:r>
        <w:rPr>
          <w:rFonts w:hint="eastAsia" w:ascii="黑体" w:hAnsi="宋体" w:eastAsia="黑体" w:cs="黑体"/>
          <w:b/>
          <w:bCs/>
          <w:i w:val="0"/>
          <w:iCs w:val="0"/>
          <w:caps w:val="0"/>
          <w:color w:val="333333"/>
          <w:spacing w:val="0"/>
          <w:kern w:val="0"/>
          <w:sz w:val="32"/>
          <w:szCs w:val="32"/>
          <w:bdr w:val="none" w:color="auto" w:sz="0" w:space="0"/>
          <w:shd w:val="clear" w:fill="EFEFEF"/>
          <w:lang w:val="en-US" w:eastAsia="zh-CN" w:bidi="ar"/>
        </w:rPr>
        <w:t>广西建设职业技术学院概况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二、部门决算单位构成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宋体" w:hAnsi="宋体" w:eastAsia="宋体" w:cs="宋体"/>
          <w:color w:val="333333"/>
          <w:sz w:val="21"/>
          <w:szCs w:val="21"/>
        </w:rPr>
      </w:pP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第二部分：</w:t>
      </w: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广西建设职业技术学院</w:t>
      </w: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2017年部门决算报表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5" w:right="0" w:firstLine="36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5" w:right="0" w:firstLine="36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5" w:right="0" w:firstLine="36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5" w:right="0" w:firstLine="36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5" w:right="0" w:firstLine="36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表五：一般公共预算财政拨款支出决算表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5" w:right="0" w:firstLine="36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表六：一般公共预算财政拨款基本支出决算表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5" w:right="0" w:firstLine="36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表七：一般公共预算财政拨款安排的“三公”经费支出决算表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45" w:right="0" w:firstLine="36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表八：政府性基金预算财政拨款收入支出决算表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宋体" w:hAnsi="宋体" w:eastAsia="宋体" w:cs="宋体"/>
          <w:color w:val="333333"/>
          <w:sz w:val="21"/>
          <w:szCs w:val="21"/>
        </w:rPr>
      </w:pP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第三部分：</w:t>
      </w: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广西建设职业技术学院</w:t>
      </w: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2017年度部门决算情况说明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一、2017 年度收入支出决算总体情况。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二、2017 年度一般公共预算支出决算情况。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三、2017年度一般公共预算财政拨款基本支出决算情况说明。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四、2017 年度政府性基金支出决算情况。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五、一般公共预算财政拨款安排的“三公”经费支出决算情况说明。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六、其他重要事项情况说明。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color w:val="333333"/>
          <w:sz w:val="21"/>
          <w:szCs w:val="21"/>
        </w:rPr>
      </w:pP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第四部分：名词解释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6"/>
        <w:jc w:val="center"/>
        <w:rPr>
          <w:rFonts w:hint="eastAsia" w:ascii="宋体" w:hAnsi="宋体" w:eastAsia="宋体" w:cs="宋体"/>
          <w:color w:val="333333"/>
          <w:sz w:val="21"/>
          <w:szCs w:val="21"/>
        </w:rPr>
      </w:pPr>
      <w:r>
        <w:rPr>
          <w:rFonts w:ascii="仿宋" w:hAnsi="仿宋" w:eastAsia="仿宋" w:cs="仿宋"/>
          <w:b/>
          <w:bCs/>
          <w:i w:val="0"/>
          <w:iCs w:val="0"/>
          <w:caps w:val="0"/>
          <w:color w:val="333333"/>
          <w:spacing w:val="0"/>
          <w:kern w:val="0"/>
          <w:sz w:val="32"/>
          <w:szCs w:val="32"/>
          <w:bdr w:val="none" w:color="auto" w:sz="0" w:space="0"/>
          <w:shd w:val="clear" w:fill="EFEFEF"/>
          <w:lang w:val="en-US" w:eastAsia="zh-CN" w:bidi="ar"/>
        </w:rPr>
        <w:t>第一部分：广西建设职业技术学院概况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6"/>
        <w:jc w:val="left"/>
        <w:rPr>
          <w:rFonts w:hint="eastAsia" w:ascii="宋体" w:hAnsi="宋体" w:eastAsia="宋体" w:cs="宋体"/>
          <w:color w:val="333333"/>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我校坐落于南宁市罗文大道33号，归口广西壮族自治区住房和城乡建设厅管理，是自治区示范性高职院校。学院以“厚德、励学、敦行</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为校训，践行</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为每一位学生的成才积蓄力量，为每一位教职工的发展搭建平台，为广西建设事业的发展培育高端技能型人才</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的办学理念，弘扬</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敢为人先、追求卓越</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EFEFE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的学院精神，为建设、管理一线培养具有良好的职业道德、懂理论、会操作、善管理的技术技能型人才。学院不断创新教育理念，深化教育教学改革，综合实力和核心竞争力不断提升，成为一所在广西有较高知名度，在国内同类院校中颇具影响力的高职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6"/>
        <w:jc w:val="left"/>
        <w:rPr>
          <w:rFonts w:hint="eastAsia" w:ascii="宋体" w:hAnsi="宋体" w:eastAsia="宋体" w:cs="宋体"/>
          <w:color w:val="333333"/>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二、部门决算单位构成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我院报表类型属于单户报表，属于二级预算单位，决算单位数为1个。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6"/>
        <w:jc w:val="center"/>
        <w:rPr>
          <w:rFonts w:hint="eastAsia" w:ascii="宋体" w:hAnsi="宋体" w:eastAsia="宋体" w:cs="宋体"/>
          <w:color w:val="333333"/>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第二部分：广西建设职业技术学院2017年度部门决算报表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color w:val="333333"/>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收入决算表》《支出决算表》《一般公共预算财政拨款支出决算表》和《政府性基金预算财政拨款收入支出决算表》细化公开到支出功能分类项级科目，《一般公共预算财政拨款基本支出决算表》细化公开到经济分类款级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tbl>
      <w:tblPr>
        <w:tblW w:w="8655" w:type="dxa"/>
        <w:jc w:val="center"/>
        <w:shd w:val="clear"/>
        <w:tblLayout w:type="autofit"/>
        <w:tblCellMar>
          <w:top w:w="15" w:type="dxa"/>
          <w:left w:w="15" w:type="dxa"/>
          <w:bottom w:w="15" w:type="dxa"/>
          <w:right w:w="15" w:type="dxa"/>
        </w:tblCellMar>
      </w:tblPr>
      <w:tblGrid>
        <w:gridCol w:w="2505"/>
        <w:gridCol w:w="1566"/>
        <w:gridCol w:w="2551"/>
        <w:gridCol w:w="1433"/>
        <w:gridCol w:w="600"/>
      </w:tblGrid>
      <w:tr>
        <w:tblPrEx>
          <w:shd w:val="clear"/>
          <w:tblCellMar>
            <w:top w:w="15" w:type="dxa"/>
            <w:left w:w="15" w:type="dxa"/>
            <w:bottom w:w="15" w:type="dxa"/>
            <w:right w:w="15" w:type="dxa"/>
          </w:tblCellMar>
        </w:tblPrEx>
        <w:trPr>
          <w:trHeight w:val="570" w:hRule="atLeast"/>
          <w:jc w:val="center"/>
        </w:trPr>
        <w:tc>
          <w:tcPr>
            <w:tcW w:w="8655" w:type="dxa"/>
            <w:gridSpan w:val="4"/>
            <w:tcBorders>
              <w:top w:val="nil"/>
              <w:left w:val="nil"/>
              <w:bottom w:val="nil"/>
              <w:right w:val="nil"/>
            </w:tcBorders>
            <w:shd w:val="clear"/>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color w:val="333333"/>
                <w:kern w:val="0"/>
                <w:sz w:val="36"/>
                <w:szCs w:val="36"/>
                <w:bdr w:val="none" w:color="auto" w:sz="0" w:space="0"/>
                <w:lang w:val="en-US" w:eastAsia="zh-CN" w:bidi="ar"/>
              </w:rPr>
              <w:t>表一：收入支出决算总表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单位：万元</w:t>
            </w:r>
          </w:p>
        </w:tc>
        <w:tc>
          <w:tcPr>
            <w:tcW w:w="75" w:type="dxa"/>
            <w:tcBorders>
              <w:top w:val="nil"/>
              <w:left w:val="nil"/>
              <w:bottom w:val="single" w:color="auto" w:sz="8"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宋体" w:hAnsi="宋体" w:eastAsia="宋体" w:cs="宋体"/>
                <w:color w:val="333333"/>
                <w:sz w:val="21"/>
                <w:szCs w:val="21"/>
              </w:rPr>
            </w:pPr>
            <w:r>
              <w:rPr>
                <w:rFonts w:hint="eastAsia" w:ascii="宋体" w:hAnsi="宋体" w:eastAsia="宋体" w:cs="宋体"/>
                <w:color w:val="333333"/>
                <w:sz w:val="21"/>
                <w:szCs w:val="21"/>
                <w:bdr w:val="none" w:color="auto" w:sz="0" w:space="0"/>
              </w:rPr>
              <w:t> </w:t>
            </w:r>
          </w:p>
        </w:tc>
      </w:tr>
      <w:tr>
        <w:tblPrEx>
          <w:tblCellMar>
            <w:top w:w="15" w:type="dxa"/>
            <w:left w:w="15" w:type="dxa"/>
            <w:bottom w:w="15" w:type="dxa"/>
            <w:right w:w="15" w:type="dxa"/>
          </w:tblCellMar>
        </w:tblPrEx>
        <w:trPr>
          <w:trHeight w:val="270" w:hRule="atLeast"/>
          <w:jc w:val="center"/>
        </w:trPr>
        <w:tc>
          <w:tcPr>
            <w:tcW w:w="41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收    入</w:t>
            </w:r>
          </w:p>
        </w:tc>
        <w:tc>
          <w:tcPr>
            <w:tcW w:w="4525"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支    出</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项目</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决算数</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项目</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决算数</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一、财政拨款收入</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27,758.20</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一、一般公共服务支出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二、上级补助收入</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二、外交支出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三、事业收入</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10,440.06</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三、国防支出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42"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四、经营收入</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四、公共安全支出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五、附属单位上缴收入</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五、教育支出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36,110.23</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六、其他收入</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1,300.19</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六、科学技术支出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七、文化体育与传媒支出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八、社会保障和就业支出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310.02</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九、医疗卫生与计划生育支出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十、节能环保支出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十一、城乡社区支出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十二、农林水支出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十三、交通运输支出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十四、资源勘探信息等支出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十五、商业服务业等支出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十六、金融支出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十七、援助其他地区支出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十八、国土海洋气象等支出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十九、住房保障支出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二十、粮油物资储备支出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二十一、其他支出</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本年收入合计</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39,498.45</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本年支出合计</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37,106.62</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用事业基金弥补收支差额</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结余分配</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上年结转</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2,281.77</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年末结转与结余</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4,673.60</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270" w:hRule="atLeast"/>
          <w:jc w:val="center"/>
        </w:trPr>
        <w:tc>
          <w:tcPr>
            <w:tcW w:w="2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收入总计</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41,780.22</w:t>
            </w:r>
          </w:p>
        </w:tc>
        <w:tc>
          <w:tcPr>
            <w:tcW w:w="29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支出总计</w:t>
            </w:r>
          </w:p>
        </w:tc>
        <w:tc>
          <w:tcPr>
            <w:tcW w:w="161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41,780.22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注：本表反映部门本年度的总收支和年末结转结余情况。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                     </w:t>
      </w:r>
    </w:p>
    <w:tbl>
      <w:tblPr>
        <w:tblW w:w="14140" w:type="dxa"/>
        <w:jc w:val="center"/>
        <w:shd w:val="clear"/>
        <w:tblLayout w:type="autofit"/>
        <w:tblCellMar>
          <w:top w:w="15" w:type="dxa"/>
          <w:left w:w="15" w:type="dxa"/>
          <w:bottom w:w="15" w:type="dxa"/>
          <w:right w:w="15" w:type="dxa"/>
        </w:tblCellMar>
      </w:tblPr>
      <w:tblGrid>
        <w:gridCol w:w="1346"/>
        <w:gridCol w:w="486"/>
        <w:gridCol w:w="1615"/>
        <w:gridCol w:w="1574"/>
        <w:gridCol w:w="1574"/>
        <w:gridCol w:w="1480"/>
        <w:gridCol w:w="1574"/>
        <w:gridCol w:w="1480"/>
        <w:gridCol w:w="1480"/>
        <w:gridCol w:w="1531"/>
      </w:tblGrid>
      <w:tr>
        <w:tblPrEx>
          <w:shd w:val="clear"/>
          <w:tblCellMar>
            <w:top w:w="15" w:type="dxa"/>
            <w:left w:w="15" w:type="dxa"/>
            <w:bottom w:w="15" w:type="dxa"/>
            <w:right w:w="15" w:type="dxa"/>
          </w:tblCellMar>
        </w:tblPrEx>
        <w:trPr>
          <w:trHeight w:val="288" w:hRule="atLeast"/>
          <w:jc w:val="center"/>
        </w:trPr>
        <w:tc>
          <w:tcPr>
            <w:tcW w:w="3360" w:type="dxa"/>
            <w:gridSpan w:val="3"/>
            <w:tcBorders>
              <w:top w:val="single" w:color="auto" w:sz="8" w:space="0"/>
              <w:left w:val="single" w:color="auto" w:sz="8" w:space="0"/>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项目</w:t>
            </w:r>
          </w:p>
        </w:tc>
        <w:tc>
          <w:tcPr>
            <w:tcW w:w="154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本年收入合计</w:t>
            </w:r>
          </w:p>
        </w:tc>
        <w:tc>
          <w:tcPr>
            <w:tcW w:w="154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财政拨款收入</w:t>
            </w:r>
          </w:p>
        </w:tc>
        <w:tc>
          <w:tcPr>
            <w:tcW w:w="154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上级补助收入</w:t>
            </w:r>
          </w:p>
        </w:tc>
        <w:tc>
          <w:tcPr>
            <w:tcW w:w="154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事业收入</w:t>
            </w:r>
          </w:p>
        </w:tc>
        <w:tc>
          <w:tcPr>
            <w:tcW w:w="154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经营收入</w:t>
            </w:r>
          </w:p>
        </w:tc>
        <w:tc>
          <w:tcPr>
            <w:tcW w:w="154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附属单位上缴收入</w:t>
            </w:r>
          </w:p>
        </w:tc>
        <w:tc>
          <w:tcPr>
            <w:tcW w:w="154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其他收入</w:t>
            </w:r>
          </w:p>
        </w:tc>
      </w:tr>
      <w:tr>
        <w:tblPrEx>
          <w:tblCellMar>
            <w:top w:w="15" w:type="dxa"/>
            <w:left w:w="15" w:type="dxa"/>
            <w:bottom w:w="15" w:type="dxa"/>
            <w:right w:w="15" w:type="dxa"/>
          </w:tblCellMar>
        </w:tblPrEx>
        <w:trPr>
          <w:trHeight w:val="288" w:hRule="atLeast"/>
          <w:jc w:val="center"/>
        </w:trPr>
        <w:tc>
          <w:tcPr>
            <w:tcW w:w="168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功能分类科目编码</w:t>
            </w:r>
          </w:p>
        </w:tc>
        <w:tc>
          <w:tcPr>
            <w:tcW w:w="16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科目名称</w:t>
            </w:r>
          </w:p>
        </w:tc>
        <w:tc>
          <w:tcPr>
            <w:tcW w:w="154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4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288" w:hRule="atLeast"/>
          <w:jc w:val="center"/>
        </w:trPr>
        <w:tc>
          <w:tcPr>
            <w:tcW w:w="336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栏次</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7</w:t>
            </w:r>
          </w:p>
        </w:tc>
      </w:tr>
      <w:tr>
        <w:tblPrEx>
          <w:tblCellMar>
            <w:top w:w="15" w:type="dxa"/>
            <w:left w:w="15" w:type="dxa"/>
            <w:bottom w:w="15" w:type="dxa"/>
            <w:right w:w="15" w:type="dxa"/>
          </w:tblCellMar>
        </w:tblPrEx>
        <w:trPr>
          <w:trHeight w:val="288" w:hRule="atLeast"/>
          <w:jc w:val="center"/>
        </w:trPr>
        <w:tc>
          <w:tcPr>
            <w:tcW w:w="336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39,498.45</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27,758.20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10,440.06</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1,300.19</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教育支出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38,502.07</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26,796.21</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10,405.66</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1,300.19</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20502</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普通教育</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2050205</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高等教育</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20503</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职业教育</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37,908.68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26,202.82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10,405.66</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1,300.19</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2050305</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高等职业教育</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37,908.68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26,202.82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10,405.66</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1,300.19</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社会保障和就业支出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292.82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17.20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20805</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行政事业单位离退休</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280.04</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262.84</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17.20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2080505</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机关事业单位基本养老保险缴费支出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280.04</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262.84</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17.20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20808</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抚恤</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2080801</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死亡抚恤</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医疗卫生与计划生育支出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6.88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21011</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行政事业单位医疗</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6.88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2101102</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事业单位医疗</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6.88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节能环保支出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21111</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污染减排</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2111199</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其他污染减排支出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21112</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可再生能源</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2111201</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可再生能源</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城乡社区支出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21299</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其他城乡社区支出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2129999</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其他城乡社区支出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住房保障支出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10.32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22102</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住房改革支出</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10.32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2210201</w:t>
            </w:r>
          </w:p>
        </w:tc>
        <w:tc>
          <w:tcPr>
            <w:tcW w:w="221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住房公积金</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10.32</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注：本表反映部门本年度取得的各项收入情况。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tbl>
      <w:tblPr>
        <w:tblW w:w="14049" w:type="dxa"/>
        <w:jc w:val="center"/>
        <w:shd w:val="clear"/>
        <w:tblLayout w:type="autofit"/>
        <w:tblCellMar>
          <w:top w:w="15" w:type="dxa"/>
          <w:left w:w="15" w:type="dxa"/>
          <w:bottom w:w="15" w:type="dxa"/>
          <w:right w:w="15" w:type="dxa"/>
        </w:tblCellMar>
      </w:tblPr>
      <w:tblGrid>
        <w:gridCol w:w="1346"/>
        <w:gridCol w:w="305"/>
        <w:gridCol w:w="1480"/>
        <w:gridCol w:w="1966"/>
        <w:gridCol w:w="1824"/>
        <w:gridCol w:w="1695"/>
        <w:gridCol w:w="1670"/>
        <w:gridCol w:w="1814"/>
        <w:gridCol w:w="1949"/>
      </w:tblGrid>
      <w:tr>
        <w:tblPrEx>
          <w:shd w:val="clear"/>
          <w:tblCellMar>
            <w:top w:w="15" w:type="dxa"/>
            <w:left w:w="15" w:type="dxa"/>
            <w:bottom w:w="15" w:type="dxa"/>
            <w:right w:w="15" w:type="dxa"/>
          </w:tblCellMar>
        </w:tblPrEx>
        <w:trPr>
          <w:trHeight w:val="288" w:hRule="atLeast"/>
          <w:jc w:val="center"/>
        </w:trPr>
        <w:tc>
          <w:tcPr>
            <w:tcW w:w="2992"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项目</w:t>
            </w:r>
          </w:p>
        </w:tc>
        <w:tc>
          <w:tcPr>
            <w:tcW w:w="198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本年支出合计</w:t>
            </w:r>
          </w:p>
        </w:tc>
        <w:tc>
          <w:tcPr>
            <w:tcW w:w="184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基本支出</w:t>
            </w:r>
          </w:p>
        </w:tc>
        <w:tc>
          <w:tcPr>
            <w:tcW w:w="170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项目支出</w:t>
            </w:r>
          </w:p>
        </w:tc>
        <w:tc>
          <w:tcPr>
            <w:tcW w:w="170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上缴上级支出</w:t>
            </w:r>
          </w:p>
        </w:tc>
        <w:tc>
          <w:tcPr>
            <w:tcW w:w="1843"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经营支出</w:t>
            </w:r>
          </w:p>
        </w:tc>
        <w:tc>
          <w:tcPr>
            <w:tcW w:w="198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对附属单位补助支出</w:t>
            </w:r>
          </w:p>
        </w:tc>
      </w:tr>
      <w:tr>
        <w:tblPrEx>
          <w:tblCellMar>
            <w:top w:w="15" w:type="dxa"/>
            <w:left w:w="15" w:type="dxa"/>
            <w:bottom w:w="15" w:type="dxa"/>
            <w:right w:w="15" w:type="dxa"/>
          </w:tblCellMar>
        </w:tblPrEx>
        <w:trPr>
          <w:trHeight w:val="288" w:hRule="atLeast"/>
          <w:jc w:val="center"/>
        </w:trPr>
        <w:tc>
          <w:tcPr>
            <w:tcW w:w="149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功能分类科目编码</w:t>
            </w:r>
          </w:p>
        </w:tc>
        <w:tc>
          <w:tcPr>
            <w:tcW w:w="14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科目名称</w:t>
            </w:r>
          </w:p>
        </w:tc>
        <w:tc>
          <w:tcPr>
            <w:tcW w:w="198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4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843"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8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288" w:hRule="atLeast"/>
          <w:jc w:val="center"/>
        </w:trPr>
        <w:tc>
          <w:tcPr>
            <w:tcW w:w="299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栏次</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w:t>
            </w:r>
          </w:p>
        </w:tc>
      </w:tr>
      <w:tr>
        <w:tblPrEx>
          <w:tblCellMar>
            <w:top w:w="15" w:type="dxa"/>
            <w:left w:w="15" w:type="dxa"/>
            <w:bottom w:w="15" w:type="dxa"/>
            <w:right w:w="15" w:type="dxa"/>
          </w:tblCellMar>
        </w:tblPrEx>
        <w:trPr>
          <w:trHeight w:val="288" w:hRule="atLeast"/>
          <w:jc w:val="center"/>
        </w:trPr>
        <w:tc>
          <w:tcPr>
            <w:tcW w:w="299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37,106.62</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4,278.26</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32,828.36</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教育支出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36,110.23</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3,718.18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32,392.06</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20502</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普通教育</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2050205</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高等教育</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20503</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职业教育</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35,516.85</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3,718.18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31,798.67</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2050305</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高等职业教育</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35,516.85</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3,718.18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31,798.67</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社会保障和就业支出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310.02</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280.04</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20805</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行政事业单位离退休</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280.04</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280.04</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2080505</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机关事业单位基本养老保险缴费支出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280.04</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280.04</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20808</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抚恤</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2080801</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死亡抚恤</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医疗卫生与计划生育支出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21011</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行政事业单位医疗</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2101102</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事业单位医疗</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112.02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节能环保支出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21111</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污染减排</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2111199</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其他污染减排支出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21112</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可再生能源</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2111201</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可再生能源</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城乡社区支出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21299</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其他城乡社区支出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2129999</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其他城乡社区支出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住房保障支出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22102</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住房改革支出</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11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2210201</w:t>
            </w:r>
          </w:p>
        </w:tc>
        <w:tc>
          <w:tcPr>
            <w:tcW w:w="18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住房公积金</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8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168.02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注：本表反映部门本年度各项支出情况。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tbl>
      <w:tblPr>
        <w:tblW w:w="13765" w:type="dxa"/>
        <w:jc w:val="center"/>
        <w:shd w:val="clear"/>
        <w:tblLayout w:type="autofit"/>
        <w:tblCellMar>
          <w:top w:w="15" w:type="dxa"/>
          <w:left w:w="15" w:type="dxa"/>
          <w:bottom w:w="15" w:type="dxa"/>
          <w:right w:w="15" w:type="dxa"/>
        </w:tblCellMar>
      </w:tblPr>
      <w:tblGrid>
        <w:gridCol w:w="3019"/>
        <w:gridCol w:w="796"/>
        <w:gridCol w:w="1867"/>
        <w:gridCol w:w="2944"/>
        <w:gridCol w:w="796"/>
        <w:gridCol w:w="1566"/>
        <w:gridCol w:w="21"/>
        <w:gridCol w:w="1482"/>
        <w:gridCol w:w="72"/>
        <w:gridCol w:w="36"/>
        <w:gridCol w:w="1166"/>
      </w:tblGrid>
      <w:tr>
        <w:tblPrEx>
          <w:shd w:val="clear"/>
          <w:tblCellMar>
            <w:top w:w="15" w:type="dxa"/>
            <w:left w:w="15" w:type="dxa"/>
            <w:bottom w:w="15" w:type="dxa"/>
            <w:right w:w="15" w:type="dxa"/>
          </w:tblCellMar>
        </w:tblPrEx>
        <w:trPr>
          <w:trHeight w:val="300" w:hRule="atLeast"/>
          <w:jc w:val="center"/>
        </w:trPr>
        <w:tc>
          <w:tcPr>
            <w:tcW w:w="5980" w:type="dxa"/>
            <w:gridSpan w:val="3"/>
            <w:tcBorders>
              <w:top w:val="single" w:color="auto" w:sz="8" w:space="0"/>
              <w:left w:val="single" w:color="auto" w:sz="8" w:space="0"/>
              <w:bottom w:val="single" w:color="auto"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ascii="MingLiU" w:hAnsi="MingLiU" w:eastAsia="MingLiU" w:cs="MingLiU"/>
                <w:color w:val="333333"/>
                <w:kern w:val="0"/>
                <w:sz w:val="22"/>
                <w:szCs w:val="22"/>
                <w:bdr w:val="none" w:color="auto" w:sz="0" w:space="0"/>
                <w:lang w:val="en-US" w:eastAsia="zh-CN" w:bidi="ar"/>
              </w:rPr>
              <w:t>收 入</w:t>
            </w:r>
          </w:p>
        </w:tc>
        <w:tc>
          <w:tcPr>
            <w:tcW w:w="7785" w:type="dxa"/>
            <w:gridSpan w:val="8"/>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支 出</w:t>
            </w:r>
          </w:p>
        </w:tc>
      </w:tr>
      <w:tr>
        <w:tblPrEx>
          <w:tblCellMar>
            <w:top w:w="15" w:type="dxa"/>
            <w:left w:w="15" w:type="dxa"/>
            <w:bottom w:w="15" w:type="dxa"/>
            <w:right w:w="15" w:type="dxa"/>
          </w:tblCellMar>
        </w:tblPrEx>
        <w:trPr>
          <w:trHeight w:val="732"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 目</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行次</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金额</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 目</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行次</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1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一般公共预算财政拨款</w:t>
            </w:r>
          </w:p>
        </w:tc>
        <w:tc>
          <w:tcPr>
            <w:tcW w:w="131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政府性基金预算财政拨款</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栏 次</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栏 次</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w:t>
            </w:r>
          </w:p>
        </w:tc>
        <w:tc>
          <w:tcPr>
            <w:tcW w:w="114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w:t>
            </w:r>
          </w:p>
        </w:tc>
        <w:tc>
          <w:tcPr>
            <w:tcW w:w="131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一、一般公共预算财政拨款</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27,758.20</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一、一般公共服务支出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28</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二、政府性基金预算财政拨款</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二、外交支出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三、国防支出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四、公共安全支出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五、教育支出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32</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24,185.64</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24,185.64</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六、科学技术支出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33</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7</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七、文化体育与传媒支出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34</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8</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八、社会保障和就业支出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35</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292.82</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292.82</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9</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九、医疗卫生与计划生育支出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36</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十、节能环保支出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37</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十一、城乡社区支出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12</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十二、农林水支出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39</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13</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十三、交通运输支出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40</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十四、资源勘探信息等支出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41</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十五、商业服务业等支出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42</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16</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十六、金融支出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43</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十七、援助其他地区支出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44</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18</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十八、国土海洋气象等支出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45</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19</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十九、住房保障支出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46</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二十、粮油物资储备支出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47</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二十一、其他支出</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48</w:t>
            </w:r>
          </w:p>
        </w:tc>
        <w:tc>
          <w:tcPr>
            <w:tcW w:w="12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5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本年收入合计</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27,758.20</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本年支出合计</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49</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25,147.63</w:t>
            </w:r>
          </w:p>
        </w:tc>
        <w:tc>
          <w:tcPr>
            <w:tcW w:w="12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25,147.63</w:t>
            </w:r>
          </w:p>
        </w:tc>
        <w:tc>
          <w:tcPr>
            <w:tcW w:w="124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24"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年初财政拨款结转和结余</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23</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2,031.77</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年末结转和结余</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50</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4,642.33</w:t>
            </w:r>
          </w:p>
        </w:tc>
        <w:tc>
          <w:tcPr>
            <w:tcW w:w="12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4,642.33</w:t>
            </w:r>
          </w:p>
        </w:tc>
        <w:tc>
          <w:tcPr>
            <w:tcW w:w="124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一般公共预算财政拨款</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2,031.77</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51</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2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24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政府性基金预算财政拨款</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25</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52</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2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24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53</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2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24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288" w:hRule="atLeast"/>
          <w:jc w:val="center"/>
        </w:trPr>
        <w:tc>
          <w:tcPr>
            <w:tcW w:w="354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27</w:t>
            </w:r>
          </w:p>
        </w:tc>
        <w:tc>
          <w:tcPr>
            <w:tcW w:w="19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29,789.96</w:t>
            </w:r>
          </w:p>
        </w:tc>
        <w:tc>
          <w:tcPr>
            <w:tcW w:w="337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54</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29,789.96</w:t>
            </w:r>
          </w:p>
        </w:tc>
        <w:tc>
          <w:tcPr>
            <w:tcW w:w="12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29,789.96</w:t>
            </w:r>
          </w:p>
        </w:tc>
        <w:tc>
          <w:tcPr>
            <w:tcW w:w="124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注：本表反映部门年度</w:t>
      </w: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一般公共预算财政拨款和政府性基金预算财政拨款的总收支和年末结转结余情况。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表五：一般公共预算财政拨款支出决算表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tbl>
      <w:tblPr>
        <w:tblW w:w="14174" w:type="dxa"/>
        <w:jc w:val="center"/>
        <w:shd w:val="clear"/>
        <w:tblLayout w:type="autofit"/>
        <w:tblCellMar>
          <w:top w:w="15" w:type="dxa"/>
          <w:left w:w="15" w:type="dxa"/>
          <w:bottom w:w="15" w:type="dxa"/>
          <w:right w:w="15" w:type="dxa"/>
        </w:tblCellMar>
      </w:tblPr>
      <w:tblGrid>
        <w:gridCol w:w="1350"/>
        <w:gridCol w:w="902"/>
        <w:gridCol w:w="2253"/>
        <w:gridCol w:w="3050"/>
        <w:gridCol w:w="3050"/>
        <w:gridCol w:w="3569"/>
      </w:tblGrid>
      <w:tr>
        <w:tblPrEx>
          <w:shd w:val="clear"/>
          <w:tblCellMar>
            <w:top w:w="15" w:type="dxa"/>
            <w:left w:w="15" w:type="dxa"/>
            <w:bottom w:w="15" w:type="dxa"/>
            <w:right w:w="15" w:type="dxa"/>
          </w:tblCellMar>
        </w:tblPrEx>
        <w:trPr>
          <w:trHeight w:val="300" w:hRule="atLeast"/>
          <w:jc w:val="center"/>
        </w:trPr>
        <w:tc>
          <w:tcPr>
            <w:tcW w:w="4505"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项目</w:t>
            </w:r>
          </w:p>
        </w:tc>
        <w:tc>
          <w:tcPr>
            <w:tcW w:w="305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合计</w:t>
            </w:r>
          </w:p>
        </w:tc>
        <w:tc>
          <w:tcPr>
            <w:tcW w:w="305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基本支出</w:t>
            </w:r>
          </w:p>
        </w:tc>
        <w:tc>
          <w:tcPr>
            <w:tcW w:w="356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MingLiU" w:hAnsi="MingLiU" w:eastAsia="MingLiU" w:cs="MingLiU"/>
                <w:color w:val="333333"/>
                <w:kern w:val="0"/>
                <w:sz w:val="22"/>
                <w:szCs w:val="22"/>
                <w:bdr w:val="none" w:color="auto" w:sz="0" w:space="0"/>
                <w:lang w:val="en-US" w:eastAsia="zh-CN" w:bidi="ar"/>
              </w:rPr>
              <w:t>项目支出</w:t>
            </w:r>
          </w:p>
        </w:tc>
      </w:tr>
      <w:tr>
        <w:tblPrEx>
          <w:tblCellMar>
            <w:top w:w="15" w:type="dxa"/>
            <w:left w:w="15" w:type="dxa"/>
            <w:bottom w:w="15" w:type="dxa"/>
            <w:right w:w="15" w:type="dxa"/>
          </w:tblCellMar>
        </w:tblPrEx>
        <w:trPr>
          <w:trHeight w:val="300" w:hRule="atLeast"/>
          <w:jc w:val="center"/>
        </w:trPr>
        <w:tc>
          <w:tcPr>
            <w:tcW w:w="22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功能分类科目编码</w:t>
            </w:r>
          </w:p>
        </w:tc>
        <w:tc>
          <w:tcPr>
            <w:tcW w:w="2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科目名称</w:t>
            </w:r>
          </w:p>
        </w:tc>
        <w:tc>
          <w:tcPr>
            <w:tcW w:w="305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5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56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264" w:hRule="atLeast"/>
          <w:jc w:val="center"/>
        </w:trPr>
        <w:tc>
          <w:tcPr>
            <w:tcW w:w="4505"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栏次</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ascii="Arial" w:hAnsi="Arial" w:eastAsia="宋体" w:cs="Arial"/>
                <w:color w:val="333333"/>
                <w:kern w:val="0"/>
                <w:sz w:val="20"/>
                <w:szCs w:val="20"/>
                <w:bdr w:val="none" w:color="auto" w:sz="0" w:space="0"/>
                <w:lang w:val="en-US" w:eastAsia="zh-CN" w:bidi="ar"/>
              </w:rPr>
              <w:t>1</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Arial" w:hAnsi="Arial" w:eastAsia="宋体" w:cs="Arial"/>
                <w:color w:val="333333"/>
                <w:kern w:val="0"/>
                <w:sz w:val="20"/>
                <w:szCs w:val="20"/>
                <w:bdr w:val="none" w:color="auto" w:sz="0" w:space="0"/>
                <w:lang w:val="en-US" w:eastAsia="zh-CN" w:bidi="ar"/>
              </w:rPr>
              <w:t>2</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Arial" w:hAnsi="Arial" w:eastAsia="宋体" w:cs="Arial"/>
                <w:color w:val="333333"/>
                <w:kern w:val="0"/>
                <w:sz w:val="20"/>
                <w:szCs w:val="20"/>
                <w:bdr w:val="none" w:color="auto" w:sz="0" w:space="0"/>
                <w:lang w:val="en-US" w:eastAsia="zh-CN" w:bidi="ar"/>
              </w:rPr>
              <w:t>3</w:t>
            </w:r>
          </w:p>
        </w:tc>
      </w:tr>
      <w:tr>
        <w:tblPrEx>
          <w:tblCellMar>
            <w:top w:w="15" w:type="dxa"/>
            <w:left w:w="15" w:type="dxa"/>
            <w:bottom w:w="15" w:type="dxa"/>
            <w:right w:w="15" w:type="dxa"/>
          </w:tblCellMar>
        </w:tblPrEx>
        <w:trPr>
          <w:trHeight w:val="300" w:hRule="atLeast"/>
          <w:jc w:val="center"/>
        </w:trPr>
        <w:tc>
          <w:tcPr>
            <w:tcW w:w="4505"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25,147.63</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3,525.34</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21,622.29</w:t>
            </w:r>
          </w:p>
        </w:tc>
      </w:tr>
      <w:tr>
        <w:tblPrEx>
          <w:tblCellMar>
            <w:top w:w="15" w:type="dxa"/>
            <w:left w:w="15" w:type="dxa"/>
            <w:bottom w:w="15" w:type="dxa"/>
            <w:right w:w="15" w:type="dxa"/>
          </w:tblCellMar>
        </w:tblPrEx>
        <w:trPr>
          <w:trHeight w:val="288"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教育支出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24,185.64</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2,999.66</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21,185.98</w:t>
            </w:r>
          </w:p>
        </w:tc>
      </w:tr>
      <w:tr>
        <w:tblPrEx>
          <w:tblCellMar>
            <w:top w:w="15" w:type="dxa"/>
            <w:left w:w="15" w:type="dxa"/>
            <w:bottom w:w="15" w:type="dxa"/>
            <w:right w:w="15" w:type="dxa"/>
          </w:tblCellMar>
        </w:tblPrEx>
        <w:trPr>
          <w:trHeight w:val="288"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20502</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普通教育</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r>
      <w:tr>
        <w:tblPrEx>
          <w:tblCellMar>
            <w:top w:w="15" w:type="dxa"/>
            <w:left w:w="15" w:type="dxa"/>
            <w:bottom w:w="15" w:type="dxa"/>
            <w:right w:w="15" w:type="dxa"/>
          </w:tblCellMar>
        </w:tblPrEx>
        <w:trPr>
          <w:trHeight w:val="288"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2050205</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高等教育</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593.39</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20503</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职业教育</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23,592.25</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2,999.66</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20,592.59</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2050305</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高等职业教育</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23,592.25</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2,999.66</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20,592.59</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社会保障和就业支出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292.82</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262.84</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20805</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行政事业单位离退休</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262.84</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262.84</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2080505</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机关事业单位基本养老保险缴费支出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262.84</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262.84</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20808</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抚恤</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2080801</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死亡抚恤</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29.98</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医疗卫生与计划生育支出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21011</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行政事业单位医疗</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2101102</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事业单位医疗</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105.14</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节能环保支出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388.85</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21111</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污染减排</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2111199</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其他污染减排支出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147.00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21112</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可再生能源</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2111201</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可再生能源</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241.85</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城乡社区支出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21299</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其他城乡社区支出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2129999</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其他城乡社区支出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17.48</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住房保障支出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22102</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住房改革支出</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264" w:hRule="atLeast"/>
          <w:jc w:val="center"/>
        </w:trPr>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2210201</w:t>
            </w:r>
          </w:p>
        </w:tc>
        <w:tc>
          <w:tcPr>
            <w:tcW w:w="31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住房公积金</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30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35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注：本表反映部门年度一般公共预算财政拨款实际支出情况。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表六：一般公共预算财政拨款基本支出决算表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3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2"/>
          <w:szCs w:val="22"/>
          <w:bdr w:val="none" w:color="auto" w:sz="0" w:space="0"/>
          <w:shd w:val="clear" w:fill="EFEFEF"/>
          <w:lang w:val="en-US" w:eastAsia="zh-CN" w:bidi="ar"/>
        </w:rPr>
        <w:t>单位：万元</w:t>
      </w:r>
    </w:p>
    <w:tbl>
      <w:tblPr>
        <w:tblW w:w="13988" w:type="dxa"/>
        <w:tblInd w:w="93" w:type="dxa"/>
        <w:shd w:val="clear"/>
        <w:tblLayout w:type="autofit"/>
        <w:tblCellMar>
          <w:top w:w="15" w:type="dxa"/>
          <w:left w:w="15" w:type="dxa"/>
          <w:bottom w:w="15" w:type="dxa"/>
          <w:right w:w="15" w:type="dxa"/>
        </w:tblCellMar>
      </w:tblPr>
      <w:tblGrid>
        <w:gridCol w:w="940"/>
        <w:gridCol w:w="1868"/>
        <w:gridCol w:w="1273"/>
        <w:gridCol w:w="1126"/>
        <w:gridCol w:w="1997"/>
        <w:gridCol w:w="1468"/>
        <w:gridCol w:w="1081"/>
        <w:gridCol w:w="2632"/>
        <w:gridCol w:w="1603"/>
      </w:tblGrid>
      <w:tr>
        <w:tblPrEx>
          <w:shd w:val="clear"/>
          <w:tblCellMar>
            <w:top w:w="15" w:type="dxa"/>
            <w:left w:w="15" w:type="dxa"/>
            <w:bottom w:w="15" w:type="dxa"/>
            <w:right w:w="15" w:type="dxa"/>
          </w:tblCellMar>
        </w:tblPrEx>
        <w:trPr>
          <w:trHeight w:val="301" w:hRule="atLeast"/>
        </w:trPr>
        <w:tc>
          <w:tcPr>
            <w:tcW w:w="4041"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人员经费</w:t>
            </w:r>
          </w:p>
        </w:tc>
        <w:tc>
          <w:tcPr>
            <w:tcW w:w="9947" w:type="dxa"/>
            <w:gridSpan w:val="6"/>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公用经费</w:t>
            </w:r>
          </w:p>
        </w:tc>
      </w:tr>
      <w:tr>
        <w:tblPrEx>
          <w:tblCellMar>
            <w:top w:w="15" w:type="dxa"/>
            <w:left w:w="15" w:type="dxa"/>
            <w:bottom w:w="15" w:type="dxa"/>
            <w:right w:w="15" w:type="dxa"/>
          </w:tblCellMar>
        </w:tblPrEx>
        <w:trPr>
          <w:trHeight w:val="312" w:hRule="atLeast"/>
        </w:trPr>
        <w:tc>
          <w:tcPr>
            <w:tcW w:w="889" w:type="dxa"/>
            <w:vMerge w:val="restar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经济分类科目编码</w:t>
            </w:r>
          </w:p>
        </w:tc>
        <w:tc>
          <w:tcPr>
            <w:tcW w:w="1879"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科目名称</w:t>
            </w:r>
          </w:p>
        </w:tc>
        <w:tc>
          <w:tcPr>
            <w:tcW w:w="1273" w:type="dxa"/>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金额</w:t>
            </w:r>
          </w:p>
        </w:tc>
        <w:tc>
          <w:tcPr>
            <w:tcW w:w="1128" w:type="dxa"/>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经济分类科目编码</w:t>
            </w:r>
          </w:p>
        </w:tc>
        <w:tc>
          <w:tcPr>
            <w:tcW w:w="2008" w:type="dxa"/>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科目名称</w:t>
            </w:r>
          </w:p>
        </w:tc>
        <w:tc>
          <w:tcPr>
            <w:tcW w:w="1470" w:type="dxa"/>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金额</w:t>
            </w:r>
          </w:p>
        </w:tc>
        <w:tc>
          <w:tcPr>
            <w:tcW w:w="1083" w:type="dxa"/>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经济分类科目编码</w:t>
            </w:r>
          </w:p>
        </w:tc>
        <w:tc>
          <w:tcPr>
            <w:tcW w:w="2651" w:type="dxa"/>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科目名称</w:t>
            </w:r>
          </w:p>
        </w:tc>
        <w:tc>
          <w:tcPr>
            <w:tcW w:w="1607" w:type="dxa"/>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金额</w:t>
            </w:r>
          </w:p>
        </w:tc>
      </w:tr>
      <w:tr>
        <w:tblPrEx>
          <w:tblCellMar>
            <w:top w:w="15" w:type="dxa"/>
            <w:left w:w="15" w:type="dxa"/>
            <w:bottom w:w="15" w:type="dxa"/>
            <w:right w:w="15" w:type="dxa"/>
          </w:tblCellMar>
        </w:tblPrEx>
        <w:trPr>
          <w:trHeight w:val="610" w:hRule="atLeast"/>
        </w:trPr>
        <w:tc>
          <w:tcPr>
            <w:tcW w:w="889"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879"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273"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1128"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2008"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1470"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1083"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2651"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c>
          <w:tcPr>
            <w:tcW w:w="1607" w:type="dxa"/>
            <w:vMerge w:val="continue"/>
            <w:tcBorders>
              <w:top w:val="single" w:color="auto" w:sz="8" w:space="0"/>
              <w:left w:val="nil"/>
              <w:bottom w:val="single" w:color="auto" w:sz="8" w:space="0"/>
              <w:right w:val="single" w:color="auto" w:sz="8" w:space="0"/>
            </w:tcBorders>
            <w:shd w:val="clear"/>
            <w:vAlign w:val="center"/>
          </w:tcPr>
          <w:p>
            <w:pPr>
              <w:rPr>
                <w:rFonts w:hint="eastAsia" w:ascii="宋体"/>
                <w:sz w:val="24"/>
                <w:szCs w:val="24"/>
              </w:rPr>
            </w:pP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301</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工资福利支出</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1,713.75</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302</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商品和服务支出</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1,559.80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310</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其他资本性支出</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30101</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基本工资</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1,318.17</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30201</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办公费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39.11</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31001</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房屋建筑物购建</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30102</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津贴补贴</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0.01</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30202</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印刷费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0.35</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31002</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办公设备购置</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30103</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奖金</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30203</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咨询费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31003</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专用设备购置</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30104</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其他社会保障缴费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395.57</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30204</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手续费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31005</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基础设施建设</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30106</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伙食补助费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30205</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水费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131.79</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31006</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大型修缮</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30107</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绩效工资</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30206</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电费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310.11</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31007</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信息网络及软件购置更新</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30108</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机关事业单位基本养老保险缴费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30207</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邮电费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71.08</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31008</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物资储备</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30109</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职业年金缴费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30208</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取暖费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31009</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土地补偿</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30199</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其他工资福利支出</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30209</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物业管理费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492.08</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31010</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安置补助</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303</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对个人和家庭的补助</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251.79</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30211</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差旅费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68.41</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31011</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地上附着物和青苗补偿</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30301</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离休费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19.82</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30212</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因公出国（境）费用</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31012</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拆迁补偿</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30302</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退休费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8.56</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30213</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维修(护)费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143.78</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31013</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公务用车购置</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30303</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退职（役）费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30214</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租赁费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31019</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其他交通工具购置</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30304</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抚恤金</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30215</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会议费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31020</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产权参股</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30305</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生活补助</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1.80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30216</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培训费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31099</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其他资本性支出</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30306</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救济费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30217</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公务接待费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304</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对企事业单位的补贴</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30"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30307</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医疗费</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30218</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专用材料费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91.51</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30401</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企业政策性补贴</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30308</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助学金</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30224</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被装购置费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30402</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事业单位补贴</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30309</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奖励金</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30225</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专用燃料费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30403</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财政贴息</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30310</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生产补贴</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30226</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劳务费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30499</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其他对企事业单位的补贴</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30311</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住房公积金</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157.70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30227</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委托业务费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307</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债务利息支出</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30312</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提租补贴</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30228</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工会经费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26.28</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30701</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国内债务付息</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30313</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购房补贴</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30229</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福利费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30707</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国外债务付息</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30314</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采暖补贴</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30231</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公务用车运行维护费</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399</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b/>
                <w:bCs/>
                <w:color w:val="333333"/>
                <w:kern w:val="0"/>
                <w:sz w:val="22"/>
                <w:szCs w:val="22"/>
                <w:bdr w:val="none" w:color="auto" w:sz="0" w:space="0"/>
                <w:lang w:val="en-US" w:eastAsia="zh-CN" w:bidi="ar"/>
              </w:rPr>
              <w:t>其他支出</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30315</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物业服务补贴</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30239</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其他交通费用</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43.69</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39906</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赠与</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30399</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其他对个人和家庭的补助支出</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63.91</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30240</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税金及附加费用</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0.00</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301" w:hRule="atLeast"/>
        </w:trPr>
        <w:tc>
          <w:tcPr>
            <w:tcW w:w="889"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879"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12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30299</w:t>
            </w:r>
          </w:p>
        </w:tc>
        <w:tc>
          <w:tcPr>
            <w:tcW w:w="2008"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其他商品和服务支出</w:t>
            </w:r>
          </w:p>
        </w:tc>
        <w:tc>
          <w:tcPr>
            <w:tcW w:w="1470"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141.61</w:t>
            </w:r>
          </w:p>
        </w:tc>
        <w:tc>
          <w:tcPr>
            <w:tcW w:w="108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2651"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301" w:hRule="atLeast"/>
        </w:trPr>
        <w:tc>
          <w:tcPr>
            <w:tcW w:w="2768" w:type="dxa"/>
            <w:gridSpan w:val="2"/>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人员经费合计</w:t>
            </w:r>
          </w:p>
        </w:tc>
        <w:tc>
          <w:tcPr>
            <w:tcW w:w="1273"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1,965.54</w:t>
            </w:r>
          </w:p>
        </w:tc>
        <w:tc>
          <w:tcPr>
            <w:tcW w:w="8340" w:type="dxa"/>
            <w:gridSpan w:val="5"/>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公用经费合计</w:t>
            </w:r>
          </w:p>
        </w:tc>
        <w:tc>
          <w:tcPr>
            <w:tcW w:w="1607"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1,559.80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注：本表反映部门本年度一般公共预算财政拨款基本支出明细情况。</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表七：一般公共预算财政拨款安排的“三公”经费支出决算表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单位：万元</w:t>
      </w:r>
    </w:p>
    <w:tbl>
      <w:tblPr>
        <w:tblW w:w="13921" w:type="dxa"/>
        <w:jc w:val="center"/>
        <w:shd w:val="clear"/>
        <w:tblLayout w:type="autofit"/>
        <w:tblCellMar>
          <w:top w:w="15" w:type="dxa"/>
          <w:left w:w="15" w:type="dxa"/>
          <w:bottom w:w="15" w:type="dxa"/>
          <w:right w:w="15" w:type="dxa"/>
        </w:tblCellMar>
      </w:tblPr>
      <w:tblGrid>
        <w:gridCol w:w="829"/>
        <w:gridCol w:w="1603"/>
        <w:gridCol w:w="828"/>
        <w:gridCol w:w="1242"/>
        <w:gridCol w:w="1242"/>
        <w:gridCol w:w="1216"/>
        <w:gridCol w:w="806"/>
        <w:gridCol w:w="1560"/>
        <w:gridCol w:w="806"/>
        <w:gridCol w:w="1398"/>
        <w:gridCol w:w="1208"/>
        <w:gridCol w:w="1183"/>
      </w:tblGrid>
      <w:tr>
        <w:tblPrEx>
          <w:shd w:val="clear"/>
          <w:tblCellMar>
            <w:top w:w="15" w:type="dxa"/>
            <w:left w:w="15" w:type="dxa"/>
            <w:bottom w:w="15" w:type="dxa"/>
            <w:right w:w="15" w:type="dxa"/>
          </w:tblCellMar>
        </w:tblPrEx>
        <w:trPr>
          <w:trHeight w:val="540" w:hRule="atLeast"/>
          <w:jc w:val="center"/>
        </w:trPr>
        <w:tc>
          <w:tcPr>
            <w:tcW w:w="696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2017年度预算数</w:t>
            </w:r>
          </w:p>
        </w:tc>
        <w:tc>
          <w:tcPr>
            <w:tcW w:w="6961"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2017年度决算数</w:t>
            </w:r>
          </w:p>
        </w:tc>
      </w:tr>
      <w:tr>
        <w:tblPrEx>
          <w:tblCellMar>
            <w:top w:w="15" w:type="dxa"/>
            <w:left w:w="15" w:type="dxa"/>
            <w:bottom w:w="15" w:type="dxa"/>
            <w:right w:w="15" w:type="dxa"/>
          </w:tblCellMar>
        </w:tblPrEx>
        <w:trPr>
          <w:trHeight w:val="396" w:hRule="atLeast"/>
          <w:jc w:val="center"/>
        </w:trPr>
        <w:tc>
          <w:tcPr>
            <w:tcW w:w="82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603"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因公出国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（境）费</w:t>
            </w:r>
          </w:p>
        </w:tc>
        <w:tc>
          <w:tcPr>
            <w:tcW w:w="3312"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公务用车购置及运行费</w:t>
            </w:r>
          </w:p>
        </w:tc>
        <w:tc>
          <w:tcPr>
            <w:tcW w:w="1216"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待费</w:t>
            </w:r>
          </w:p>
        </w:tc>
        <w:tc>
          <w:tcPr>
            <w:tcW w:w="80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合计</w:t>
            </w:r>
          </w:p>
        </w:tc>
        <w:tc>
          <w:tcPr>
            <w:tcW w:w="1560"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因公出国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（境）费</w:t>
            </w:r>
          </w:p>
        </w:tc>
        <w:tc>
          <w:tcPr>
            <w:tcW w:w="3412" w:type="dxa"/>
            <w:gridSpan w:val="3"/>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公务用车购置及运行费</w:t>
            </w:r>
          </w:p>
        </w:tc>
        <w:tc>
          <w:tcPr>
            <w:tcW w:w="1183"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待费</w:t>
            </w:r>
          </w:p>
        </w:tc>
      </w:tr>
      <w:tr>
        <w:tblPrEx>
          <w:tblCellMar>
            <w:top w:w="15" w:type="dxa"/>
            <w:left w:w="15" w:type="dxa"/>
            <w:bottom w:w="15" w:type="dxa"/>
            <w:right w:w="15" w:type="dxa"/>
          </w:tblCellMar>
        </w:tblPrEx>
        <w:trPr>
          <w:trHeight w:val="576" w:hRule="atLeast"/>
          <w:jc w:val="center"/>
        </w:trPr>
        <w:tc>
          <w:tcPr>
            <w:tcW w:w="82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03"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2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小计</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 购置费</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 运行费</w:t>
            </w:r>
          </w:p>
        </w:tc>
        <w:tc>
          <w:tcPr>
            <w:tcW w:w="1216"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小计</w:t>
            </w:r>
          </w:p>
        </w:tc>
        <w:tc>
          <w:tcPr>
            <w:tcW w:w="13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 购置费</w:t>
            </w:r>
          </w:p>
        </w:tc>
        <w:tc>
          <w:tcPr>
            <w:tcW w:w="1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公务用车 运行费</w:t>
            </w:r>
          </w:p>
        </w:tc>
        <w:tc>
          <w:tcPr>
            <w:tcW w:w="1183"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600" w:hRule="atLeast"/>
          <w:jc w:val="center"/>
        </w:trPr>
        <w:tc>
          <w:tcPr>
            <w:tcW w:w="82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w:t>
            </w:r>
          </w:p>
        </w:tc>
        <w:tc>
          <w:tcPr>
            <w:tcW w:w="160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2</w:t>
            </w:r>
          </w:p>
        </w:tc>
        <w:tc>
          <w:tcPr>
            <w:tcW w:w="8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3</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4</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5</w:t>
            </w:r>
          </w:p>
        </w:tc>
        <w:tc>
          <w:tcPr>
            <w:tcW w:w="121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6</w:t>
            </w:r>
          </w:p>
        </w:tc>
        <w:tc>
          <w:tcPr>
            <w:tcW w:w="8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7</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8</w:t>
            </w:r>
          </w:p>
        </w:tc>
        <w:tc>
          <w:tcPr>
            <w:tcW w:w="8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9</w:t>
            </w:r>
          </w:p>
        </w:tc>
        <w:tc>
          <w:tcPr>
            <w:tcW w:w="13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10</w:t>
            </w:r>
          </w:p>
        </w:tc>
        <w:tc>
          <w:tcPr>
            <w:tcW w:w="120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11</w:t>
            </w:r>
          </w:p>
        </w:tc>
        <w:tc>
          <w:tcPr>
            <w:tcW w:w="118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12</w:t>
            </w:r>
          </w:p>
        </w:tc>
      </w:tr>
      <w:tr>
        <w:tblPrEx>
          <w:tblCellMar>
            <w:top w:w="15" w:type="dxa"/>
            <w:left w:w="15" w:type="dxa"/>
            <w:bottom w:w="15" w:type="dxa"/>
            <w:right w:w="15" w:type="dxa"/>
          </w:tblCellMar>
        </w:tblPrEx>
        <w:trPr>
          <w:trHeight w:val="564" w:hRule="atLeast"/>
          <w:jc w:val="center"/>
        </w:trPr>
        <w:tc>
          <w:tcPr>
            <w:tcW w:w="82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60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8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21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8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8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3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20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c>
          <w:tcPr>
            <w:tcW w:w="118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注：本表反映部门本年度“三公”经费支出预决算情况。其中。</w:t>
      </w:r>
      <w:r>
        <w:rPr>
          <w:rFonts w:hint="default" w:ascii="Times New Roman" w:hAnsi="Times New Roman" w:eastAsia="宋体" w:cs="Times New Roman"/>
          <w:i w:val="0"/>
          <w:iCs w:val="0"/>
          <w:caps w:val="0"/>
          <w:color w:val="333333"/>
          <w:spacing w:val="0"/>
          <w:kern w:val="0"/>
          <w:sz w:val="21"/>
          <w:szCs w:val="21"/>
          <w:bdr w:val="none" w:color="auto" w:sz="0" w:space="0"/>
          <w:shd w:val="clear" w:fill="EFEFEF"/>
          <w:lang w:val="en-US" w:eastAsia="zh-CN" w:bidi="ar"/>
        </w:rPr>
        <w:t>2017</w:t>
      </w: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年度预算数为“三公”经费年初预算数，决算数是包括当年一般公共预算财政拨款和以前年度结转资金安排的实际支出。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EFEFEF"/>
          <w:lang w:val="en-US" w:eastAsia="zh-CN" w:bidi="ar"/>
        </w:rPr>
        <w:t>表八：政府性基金预算财政拨款收入支出决算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单位：万元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tbl>
      <w:tblPr>
        <w:tblW w:w="14174" w:type="dxa"/>
        <w:tblInd w:w="0" w:type="dxa"/>
        <w:shd w:val="clear"/>
        <w:tblLayout w:type="autofit"/>
        <w:tblCellMar>
          <w:top w:w="15" w:type="dxa"/>
          <w:left w:w="15" w:type="dxa"/>
          <w:bottom w:w="15" w:type="dxa"/>
          <w:right w:w="15" w:type="dxa"/>
        </w:tblCellMar>
      </w:tblPr>
      <w:tblGrid>
        <w:gridCol w:w="1099"/>
        <w:gridCol w:w="1295"/>
        <w:gridCol w:w="1965"/>
        <w:gridCol w:w="1965"/>
        <w:gridCol w:w="1965"/>
        <w:gridCol w:w="1965"/>
        <w:gridCol w:w="1967"/>
        <w:gridCol w:w="1953"/>
      </w:tblGrid>
      <w:tr>
        <w:tblPrEx>
          <w:shd w:val="clear"/>
          <w:tblCellMar>
            <w:top w:w="15" w:type="dxa"/>
            <w:left w:w="15" w:type="dxa"/>
            <w:bottom w:w="15" w:type="dxa"/>
            <w:right w:w="15" w:type="dxa"/>
          </w:tblCellMar>
        </w:tblPrEx>
        <w:trPr>
          <w:trHeight w:val="405" w:hRule="atLeast"/>
        </w:trPr>
        <w:tc>
          <w:tcPr>
            <w:tcW w:w="2394"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项 </w:t>
            </w:r>
            <w:r>
              <w:rPr>
                <w:rFonts w:hint="eastAsia" w:ascii="宋体" w:hAnsi="宋体" w:eastAsia="宋体" w:cs="宋体"/>
                <w:color w:val="333333"/>
                <w:kern w:val="0"/>
                <w:sz w:val="22"/>
                <w:szCs w:val="22"/>
                <w:bdr w:val="none" w:color="auto" w:sz="0" w:space="0"/>
                <w:lang w:val="en-US" w:eastAsia="zh-CN" w:bidi="ar"/>
              </w:rPr>
              <w:t>   </w:t>
            </w:r>
            <w:r>
              <w:rPr>
                <w:rFonts w:hint="eastAsia" w:ascii="宋体" w:hAnsi="宋体" w:eastAsia="宋体" w:cs="宋体"/>
                <w:color w:val="333333"/>
                <w:kern w:val="0"/>
                <w:sz w:val="24"/>
                <w:szCs w:val="24"/>
                <w:bdr w:val="none" w:color="auto" w:sz="0" w:space="0"/>
                <w:lang w:val="en-US" w:eastAsia="zh-CN" w:bidi="ar"/>
              </w:rPr>
              <w:t>目</w:t>
            </w:r>
          </w:p>
        </w:tc>
        <w:tc>
          <w:tcPr>
            <w:tcW w:w="1965" w:type="dxa"/>
            <w:vMerge w:val="restart"/>
            <w:tcBorders>
              <w:top w:val="single" w:color="auto" w:sz="8" w:space="0"/>
              <w:left w:val="nil"/>
              <w:bottom w:val="single" w:color="000000"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年初结转和结余</w:t>
            </w:r>
          </w:p>
        </w:tc>
        <w:tc>
          <w:tcPr>
            <w:tcW w:w="1965" w:type="dxa"/>
            <w:vMerge w:val="restart"/>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本年收入</w:t>
            </w:r>
          </w:p>
        </w:tc>
        <w:tc>
          <w:tcPr>
            <w:tcW w:w="5897" w:type="dxa"/>
            <w:gridSpan w:val="3"/>
            <w:tcBorders>
              <w:top w:val="single" w:color="auto" w:sz="8" w:space="0"/>
              <w:left w:val="nil"/>
              <w:bottom w:val="nil"/>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本年支出</w:t>
            </w:r>
          </w:p>
        </w:tc>
        <w:tc>
          <w:tcPr>
            <w:tcW w:w="1953" w:type="dxa"/>
            <w:vMerge w:val="restart"/>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年末结转和结余</w:t>
            </w:r>
          </w:p>
        </w:tc>
      </w:tr>
      <w:tr>
        <w:tblPrEx>
          <w:tblCellMar>
            <w:top w:w="15" w:type="dxa"/>
            <w:left w:w="15" w:type="dxa"/>
            <w:bottom w:w="15" w:type="dxa"/>
            <w:right w:w="15" w:type="dxa"/>
          </w:tblCellMar>
        </w:tblPrEx>
        <w:trPr>
          <w:trHeight w:val="540" w:hRule="atLeast"/>
        </w:trPr>
        <w:tc>
          <w:tcPr>
            <w:tcW w:w="109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功能分类科目编码</w:t>
            </w:r>
          </w:p>
        </w:tc>
        <w:tc>
          <w:tcPr>
            <w:tcW w:w="129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科目名称</w:t>
            </w:r>
          </w:p>
        </w:tc>
        <w:tc>
          <w:tcPr>
            <w:tcW w:w="1965" w:type="dxa"/>
            <w:vMerge w:val="continue"/>
            <w:tcBorders>
              <w:top w:val="single" w:color="auto" w:sz="8" w:space="0"/>
              <w:left w:val="nil"/>
              <w:bottom w:val="single" w:color="000000" w:sz="8" w:space="0"/>
              <w:right w:val="nil"/>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小计</w:t>
            </w:r>
          </w:p>
        </w:tc>
        <w:tc>
          <w:tcPr>
            <w:tcW w:w="1965"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基本支出  </w:t>
            </w:r>
          </w:p>
        </w:tc>
        <w:tc>
          <w:tcPr>
            <w:tcW w:w="1967" w:type="dxa"/>
            <w:vMerge w:val="restart"/>
            <w:tcBorders>
              <w:top w:val="nil"/>
              <w:left w:val="nil"/>
              <w:bottom w:val="single" w:color="000000"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项目支出</w:t>
            </w:r>
          </w:p>
        </w:tc>
        <w:tc>
          <w:tcPr>
            <w:tcW w:w="1953" w:type="dxa"/>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360" w:hRule="atLeast"/>
        </w:trPr>
        <w:tc>
          <w:tcPr>
            <w:tcW w:w="109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9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single" w:color="auto" w:sz="8" w:space="0"/>
              <w:left w:val="nil"/>
              <w:bottom w:val="single" w:color="000000" w:sz="8" w:space="0"/>
              <w:right w:val="nil"/>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7" w:type="dxa"/>
            <w:vMerge w:val="continue"/>
            <w:tcBorders>
              <w:top w:val="nil"/>
              <w:left w:val="nil"/>
              <w:bottom w:val="single" w:color="000000" w:sz="8" w:space="0"/>
              <w:right w:val="nil"/>
            </w:tcBorders>
            <w:shd w:val="clear"/>
            <w:tcMar>
              <w:top w:w="0" w:type="dxa"/>
              <w:left w:w="108" w:type="dxa"/>
              <w:bottom w:w="0" w:type="dxa"/>
              <w:right w:w="108" w:type="dxa"/>
            </w:tcMar>
            <w:vAlign w:val="center"/>
          </w:tcPr>
          <w:p>
            <w:pPr>
              <w:rPr>
                <w:rFonts w:hint="eastAsia" w:ascii="宋体"/>
                <w:sz w:val="24"/>
                <w:szCs w:val="24"/>
              </w:rPr>
            </w:pPr>
          </w:p>
        </w:tc>
        <w:tc>
          <w:tcPr>
            <w:tcW w:w="1953" w:type="dxa"/>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450" w:hRule="atLeast"/>
        </w:trPr>
        <w:tc>
          <w:tcPr>
            <w:tcW w:w="109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9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single" w:color="auto" w:sz="8" w:space="0"/>
              <w:left w:val="nil"/>
              <w:bottom w:val="single" w:color="000000" w:sz="8" w:space="0"/>
              <w:right w:val="nil"/>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5"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67" w:type="dxa"/>
            <w:vMerge w:val="continue"/>
            <w:tcBorders>
              <w:top w:val="nil"/>
              <w:left w:val="nil"/>
              <w:bottom w:val="single" w:color="000000" w:sz="8" w:space="0"/>
              <w:right w:val="nil"/>
            </w:tcBorders>
            <w:shd w:val="clear"/>
            <w:tcMar>
              <w:top w:w="0" w:type="dxa"/>
              <w:left w:w="108" w:type="dxa"/>
              <w:bottom w:w="0" w:type="dxa"/>
              <w:right w:w="108" w:type="dxa"/>
            </w:tcMar>
            <w:vAlign w:val="center"/>
          </w:tcPr>
          <w:p>
            <w:pPr>
              <w:rPr>
                <w:rFonts w:hint="eastAsia" w:ascii="宋体"/>
                <w:sz w:val="24"/>
                <w:szCs w:val="24"/>
              </w:rPr>
            </w:pPr>
          </w:p>
        </w:tc>
        <w:tc>
          <w:tcPr>
            <w:tcW w:w="1953" w:type="dxa"/>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450" w:hRule="atLeast"/>
        </w:trPr>
        <w:tc>
          <w:tcPr>
            <w:tcW w:w="2394" w:type="dxa"/>
            <w:gridSpan w:val="2"/>
            <w:tcBorders>
              <w:top w:val="nil"/>
              <w:left w:val="single" w:color="auto" w:sz="8" w:space="0"/>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栏次</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1</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2</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3</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4</w:t>
            </w:r>
          </w:p>
        </w:tc>
        <w:tc>
          <w:tcPr>
            <w:tcW w:w="1967" w:type="dxa"/>
            <w:tcBorders>
              <w:top w:val="nil"/>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5</w:t>
            </w:r>
          </w:p>
        </w:tc>
        <w:tc>
          <w:tcPr>
            <w:tcW w:w="19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6</w:t>
            </w:r>
          </w:p>
        </w:tc>
      </w:tr>
      <w:tr>
        <w:tblPrEx>
          <w:tblCellMar>
            <w:top w:w="15" w:type="dxa"/>
            <w:left w:w="15" w:type="dxa"/>
            <w:bottom w:w="15" w:type="dxa"/>
            <w:right w:w="15" w:type="dxa"/>
          </w:tblCellMar>
        </w:tblPrEx>
        <w:trPr>
          <w:trHeight w:val="450" w:hRule="atLeast"/>
        </w:trPr>
        <w:tc>
          <w:tcPr>
            <w:tcW w:w="2394" w:type="dxa"/>
            <w:gridSpan w:val="2"/>
            <w:tcBorders>
              <w:top w:val="nil"/>
              <w:left w:val="single" w:color="auto" w:sz="8" w:space="0"/>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合计</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w:t>
            </w:r>
          </w:p>
        </w:tc>
        <w:tc>
          <w:tcPr>
            <w:tcW w:w="1967" w:type="dxa"/>
            <w:tcBorders>
              <w:top w:val="nil"/>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w:t>
            </w:r>
          </w:p>
        </w:tc>
        <w:tc>
          <w:tcPr>
            <w:tcW w:w="19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0</w:t>
            </w:r>
          </w:p>
        </w:tc>
      </w:tr>
      <w:tr>
        <w:tblPrEx>
          <w:tblCellMar>
            <w:top w:w="15" w:type="dxa"/>
            <w:left w:w="15" w:type="dxa"/>
            <w:bottom w:w="15" w:type="dxa"/>
            <w:right w:w="15" w:type="dxa"/>
          </w:tblCellMar>
        </w:tblPrEx>
        <w:trPr>
          <w:trHeight w:val="450" w:hRule="atLeast"/>
        </w:trPr>
        <w:tc>
          <w:tcPr>
            <w:tcW w:w="10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类</w:t>
            </w:r>
          </w:p>
        </w:tc>
        <w:tc>
          <w:tcPr>
            <w:tcW w:w="1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7" w:type="dxa"/>
            <w:tcBorders>
              <w:top w:val="nil"/>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450" w:hRule="atLeast"/>
        </w:trPr>
        <w:tc>
          <w:tcPr>
            <w:tcW w:w="10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款</w:t>
            </w:r>
          </w:p>
        </w:tc>
        <w:tc>
          <w:tcPr>
            <w:tcW w:w="1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7" w:type="dxa"/>
            <w:tcBorders>
              <w:top w:val="nil"/>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450" w:hRule="atLeast"/>
        </w:trPr>
        <w:tc>
          <w:tcPr>
            <w:tcW w:w="10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right"/>
              <w:rPr>
                <w:rFonts w:hint="eastAsia" w:ascii="宋体" w:hAnsi="宋体" w:eastAsia="宋体" w:cs="宋体"/>
                <w:color w:val="333333"/>
                <w:sz w:val="21"/>
                <w:szCs w:val="21"/>
              </w:rPr>
            </w:pPr>
            <w:r>
              <w:rPr>
                <w:rFonts w:hint="eastAsia" w:ascii="宋体" w:hAnsi="宋体" w:eastAsia="宋体" w:cs="宋体"/>
                <w:color w:val="333333"/>
                <w:kern w:val="0"/>
                <w:sz w:val="22"/>
                <w:szCs w:val="22"/>
                <w:bdr w:val="none" w:color="auto" w:sz="0" w:space="0"/>
                <w:lang w:val="en-US" w:eastAsia="zh-CN" w:bidi="ar"/>
              </w:rPr>
              <w:t>　项</w:t>
            </w:r>
          </w:p>
        </w:tc>
        <w:tc>
          <w:tcPr>
            <w:tcW w:w="1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0"/>
                <w:szCs w:val="20"/>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7" w:type="dxa"/>
            <w:tcBorders>
              <w:top w:val="nil"/>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450" w:hRule="atLeast"/>
        </w:trPr>
        <w:tc>
          <w:tcPr>
            <w:tcW w:w="10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center"/>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2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67" w:type="dxa"/>
            <w:tcBorders>
              <w:top w:val="nil"/>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c>
          <w:tcPr>
            <w:tcW w:w="19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color w:val="333333"/>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注：本表反映部门本年度政府性基金预算财政拨款收入支出及结转和结余情况。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1"/>
          <w:szCs w:val="21"/>
          <w:bdr w:val="none" w:color="auto" w:sz="0" w:space="0"/>
          <w:shd w:val="clear" w:fill="EFEFEF"/>
          <w:lang w:val="en-US" w:eastAsia="zh-CN" w:bidi="ar"/>
        </w:rPr>
        <w:t>广西建设职业技术学院没有政府性基金收入，也没有政府性基金安排的支出，故本表无数据”</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第三部分：广西建设职业技术学院2017年度部门决算情况说明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一、2017年度收入支出决算总体情况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（一）2017年度总收入41,780.22万元，其中本年收入39,498.45万元, 上年结转2281.77万元。本年收入较2016年度决算数增加3,875.45万元，增长10.88%。收入具体情况如下：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1.财政拨款收入27,758.19万元，为自治区本级财政当年拨付的资金。较2016年度决算数增加3,344.04万元，增长13.70%，主要原因是国家教育经费投入逐年增长，学校因学生人数增加，在年中按学生人数追加高职生均拨款、奖补资金及教育口特定项目经费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2.事业收入10,440.06万元，为事业单位开展业务活动取得的收入。主要为我校收取的学费及住宿费等收入。较2016年度决算数增加869.65万元，增长9.09 %，主要原因是学校因学生人数增加，收取的学费及住宿费等有所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3.经营收入0万，为事业单位在业务活动之外开展非独立核算经营活动取得的收入。我校去年经营收入0万</w:t>
      </w: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4.其他收入1,300.19万元，为预算单位在“财政拨款收入”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事业收入”“经营收入”之外取得的收入。较2016年度决算数减少338.14万元，下降20.64%，主要原因是学校社会化培训办学收入减少，我校搬到罗文新校区后，远离市中心，交通不够便利，社会化培训办学条件受区域限制，收入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5. 用事业基金弥补收支差额0万元，主要是所属事业单位在当年的“财政拨款收入”、“事业收入”、“经营收入”及“其他收入”不能保证其支出的情况下，使用以前年度积累的事业基金（事业单位当年收入和支出相抵后按国家规定提取，用于弥补以后年度收支差额的基金）弥补本年度收支缺口的资金。我校去年用事业基金弥补收支差额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（二）2017年度总支出41,780.22万元，其中本年支出37,106.62万元，年末结转</w:t>
      </w: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4,673.6万元</w:t>
      </w: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。本年支出较2016年度决算数减少2,990.15万元，下降7.46%。支出具体情况如下：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1.教育支出（类）36,110.23万元：主要用于我校职业教育相关成本支出。较2016年度决算数减少3,678.52万元，下降9.25%，主要原因是：根据部分项目实施计划，需跨年度执行，经财政厅同意列支结转到2018年，专款专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2.社会保障和就业（类）310.02万元：主要是死亡抚恤（按功能分类项级）支出29.98万元；机关事业单位养老保险缴费支出280.04万元。较2016年度决算数增加305.93万元，增长7479.95%，主要原因是：（1）今年将机关事业单位养老保险缴费项目的功能分类科目（2016年及以前在教育支出（类）功能分类科目中核算）新增到社会保障和就业（类）功能分类科目，所以社会保障和就业（类）功能科目在2016年仅仅反映死亡人员死亡抚恤金数据；（2）2017年追加死亡人员死亡抚恤金较之2016年有所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3．医疗卫生与计划生育支出（类）112.02万元：主要用于我院教职工的医疗保险等支出。较2016年度决算数增加16.91万元，增长17.78%，主要原因是：学校新校区投入使用，教职工人数有所增加，医疗保险支出相应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4.节能环保支出（类）388.85万元：主要用于建筑节能环保方面支出。较2016年度决算数增加378.7万元，增长3731.03%，主要原因是：2017年年中财政追加《公共建筑节能改造项目建设补助项目》和《节能减排资金用于清算北方采暖地区既有居住建筑与公共建筑改造奖励项目》资金，用于节能环保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5.住房保障支出（类）168.02万元：主要用于按照国家政策规定向职工发放的住房公积金、提租补贴、购房补贴等住房改革方面的支出。较2016年度决算数增加25.35万元，增长17.77%，主要原因是：学校新校区投入使用，人员有所增加，住房公积金支出会相应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6.城乡社区事务（类）17.48万元：主要用于代管广西建设职业技能岗位鉴定总站相关费用及主管部门安排的我院新校区建设费用。较2016年度决算数减少38.52万元，下降68.79%，主要原因是：广西建设职业技能岗位鉴定总站在年中撤销，相关收支通过调整预算，并入我校教育支出（类）核算收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7.年末结转和结余4,673.6万元，为本年度或以前年度预算安排、因客观条件发生变化无法按原计划实施，需要延迟到以后年度按有关规定继续使用的资金，既包括财政拨款结转和结余，也包括事业收入、经营收入、其他收入的结转和结余。较2016年度决算数增加2,355.6万元，增长101.62%，主要原因是：生均拨款提高，教育口特定项目经费年中追加，根据项目实施计划，建设期一般为1-2年，需结转跨年按项目原用途使用项目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二、2017年度一般公共预算支出决算情况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我校2017年度一般公共预算支出25,147.63万元，较2016年度决算数增加1,365.12万元，增长5.74%。其中：基本支出3,525.34万元，项目支出21,622.29万元。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我校2017年度一般公共预算支出年初预算为20,260.24万元，支出决算为25,147.63万元，完成年初预算的124.12%。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（一）教育支出（类）年初预算为19,682.06万元，支出决算为24,185.64万元，完成年初预算的122.88%。增加主要原因是在年中收到追加的高职生均拨款、奖补资金以及财政贷款贴息等。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（二）社会保障和就业（类）年初预算为262.84万元，支出决算为292.82万元，完成年初预算的111.41%。增加主要原因是年中追加死亡人员死亡抚恤金。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（三）医疗卫生与计划生育支出（类）年初预算为105.14万元，支出决算为105.14万元，完成年初预算的100%。决算数与预算数持平。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四）节能环保支出（类）年初预算为0万元，支出决算为388.85万元，决算数比预算数增加388.85万元。增加主要原因是2017年年中财政追加《公共建筑节能改造项目建设补助项目》和《节能减排资金用于清算北方采暖地区既有居住建筑与公共建筑改造奖励项目》资金，合计388.85万元，用于节能环保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（五）住房保障支出（类）年初预算为157.7万元，支出决算为157.7万元，完成年初预算的100%。决算数与预算数持平。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27"/>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城乡社区事务（类）年初预算为52.5万元，支出决算为17.48万元，完成年初预算的33.30%。减少主要原因是广西建设职业技能岗位鉴定总站在年中撤销，相关收支通过调整预算，并入我校教育支出（类）核算收支。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三、2017年度一般公共预算财政拨款基本支出决算情况说明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2017年度一般公共预算财政拨款基本支出3,525.34万元，支出具体情况如下：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（一）工资福利支出1,713.75万元，完成年初预算的100%。决算数与预算数持平。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（二）商品和服务支出1,559.8万元，完成年初预算的100%。决算数与预算数持平。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（三）对个人和家庭的补助251.79万元，完成年初预算的100%。决算数与预算数持平。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四、2017年度政府性基金支出决算情况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广西建设职业技术学院2017年度政府性基金支出     0万元，其中：基本支出0万元，项目支出0万元。2016年政府性基金支出0万元。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五、一般公共预算财政拨款安排的“三公”经费支出决算情况说明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2017年度一般公共预算财政拨款安排的“三公”经费支出决算中，因公出国（境）费支出决算0万元；公务用车购置及运行费支出决算0万元；公务接待费支出决算0万元。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30"/>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六、其他重要事项情况说明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（一） 机关运行经费支出情况说明。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638" w:right="0" w:firstLine="36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学院属于事业单位，2017年机关运行经费支出0万元。</w:t>
      </w:r>
      <w:r>
        <w:rPr>
          <w:rFonts w:ascii="楷体_GB2312" w:hAnsi="宋体" w:eastAsia="楷体_GB2312" w:cs="楷体_GB2312"/>
          <w:b/>
          <w:bCs/>
          <w:i w:val="0"/>
          <w:iCs w:val="0"/>
          <w:caps w:val="0"/>
          <w:color w:val="333333"/>
          <w:spacing w:val="0"/>
          <w:kern w:val="0"/>
          <w:sz w:val="32"/>
          <w:szCs w:val="32"/>
          <w:bdr w:val="none" w:color="auto" w:sz="0" w:space="0"/>
          <w:shd w:val="clear" w:fill="EFEFEF"/>
          <w:lang w:val="en-US" w:eastAsia="zh-CN" w:bidi="ar"/>
        </w:rPr>
        <w:t>（二）政府采购支出情况说明。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2017年本部门政府采购支出总额32,982.22万元，其中：政府采购货物支出3,577.65万元、政府采购工程支出27,871.2万元、政府采购服务支出1,533.37万元（口径参见部门决算CS06表《政府采购情况表》并做好与2017 年度政府采购信息统计报表中“政府采购资金情况表”有关数据的衔接）。授予中小企业合同金额5277.16万元，占政府采购支出总额的16%，其中：授予小微企业合同金额2968.40万元，占政府采购支出总额的9%。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（三）国有资产占用情况说明。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截至2017年12月31日，本部门共有车辆11辆，其中，一般公务用车11辆；单位价值50万元以上通用设备0台（套），100万元以上专用设备0台（套）。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（四）预算绩效管理工作开展情况。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1.绩效管理工作开展情况。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根据财政预算管理要求，我校对2017年度的11个项目支出开展了绩效自评并将相关材料上报给了财政厅。其中财政厅重点对“国家助学金经费”项目进行了绩效评价，涉及金额727.71万元，评价得分为97分。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bdr w:val="none" w:color="auto" w:sz="0" w:space="0"/>
          <w:shd w:val="clear" w:fill="EFEFEF"/>
          <w:lang w:val="en-US" w:eastAsia="zh-CN" w:bidi="ar"/>
        </w:rPr>
        <w:t>2.部门决算中项目绩效自评结果。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0"/>
        <w:jc w:val="left"/>
        <w:rPr>
          <w:rFonts w:hint="eastAsia" w:ascii="宋体" w:hAnsi="宋体" w:eastAsia="宋体" w:cs="宋体"/>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EFEFEF"/>
          <w:lang w:val="en-US" w:eastAsia="zh-CN" w:bidi="ar"/>
        </w:rPr>
        <w:t>从评价情况来看，绩效自评项目全部已基本完成了绩效目标。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default"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643"/>
        <w:jc w:val="left"/>
        <w:rPr>
          <w:rFonts w:hint="eastAsia" w:ascii="仿宋_GB2312" w:hAnsi="宋体" w:eastAsia="仿宋_GB2312" w:cs="仿宋_GB2312"/>
          <w:b/>
          <w:bCs/>
          <w:i w:val="0"/>
          <w:iCs w:val="0"/>
          <w:caps w:val="0"/>
          <w:color w:val="333333"/>
          <w:spacing w:val="0"/>
          <w:kern w:val="0"/>
          <w:sz w:val="32"/>
          <w:szCs w:val="32"/>
          <w:bdr w:val="none" w:color="auto" w:sz="0" w:space="0"/>
          <w:shd w:val="clear" w:fill="EFEFE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560" w:lineRule="atLeast"/>
        <w:ind w:left="0" w:right="0" w:firstLine="36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EFEFE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一、财政拨款收入：指自治区财政部门当年拨付的资金。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二、事业收入：指事业单位开展专业业务活动及辅助活动所取得的收入。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三、经营收入：指事业单位在专业业务活动及其辅助活动之外开展非独立核算经营活动取得的收入。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四、其他收入：指除上述“财政拨款收入”“事业收入”“经营收入”等以外的收入。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六、年初结转和结余：指以前年度尚未完成、结转到本年 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七、结余分配：指事业单位按规定提取的职工福利基金、事业基金和缴纳的所得税，以及建设单位按规定应交回的基本建设竣工项目结余资金。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八、年末结转和结余：指本年度或以前年度预算安排、因客观条件发生变化无法按原计划实施，需要延迟到以后年度按有关规定继续使用的资金。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九、基本支出：指为保障机构正常运转、完成日常工作任务而发生的人员支出和公用支出。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十、项目支出：指在基本支出之外为完成特定行政任务和事业发展目标所发生的支出。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十一、经营支出：指事业单位在专业业务活动及其辅助活动之外开展非独立核算经营活动发生的支出。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EFEFEF"/>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6838" w:h="11906" w:orient="landscape"/>
      <w:pgMar w:top="1134"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429FE"/>
    <w:rsid w:val="10C4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2021-05-21T03:13:00Z</dcterms:created>
  <dc:creator>邓彩英</dc:creator>
  <cp:lastModifiedBy>邓彩英</cp:lastModifiedBy>
  <dcterms:modified xsi:type="dcterms:W3CDTF">2021-05-21T03:16:56Z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F2E0ECAC0071473CA42004C4810E7C1A</vt:lpwstr>
  </property>
</Properties>
</file>